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Georgia" w:cs="Georgia" w:hAnsi="Georgia" w:eastAsia="Georgia"/>
          <w:b w:val="0"/>
          <w:bCs w:val="0"/>
          <w:outline w:val="0"/>
          <w:color w:val="000000"/>
          <w:sz w:val="30"/>
          <w:szCs w:val="30"/>
          <w:shd w:val="clear" w:color="auto" w:fill="ffffff"/>
          <w:rtl w:val="0"/>
          <w14:textFill>
            <w14:solidFill>
              <w14:srgbClr w14:val="000000"/>
            </w14:solidFill>
          </w14:textFill>
        </w:rPr>
      </w:pPr>
      <w:r>
        <w:rPr>
          <w:rFonts w:ascii="Georgia" w:hAnsi="Georgia"/>
          <w:b w:val="1"/>
          <w:bCs w:val="1"/>
          <w:outline w:val="0"/>
          <w:color w:val="323130"/>
          <w:sz w:val="30"/>
          <w:szCs w:val="30"/>
          <w:shd w:val="clear" w:color="auto" w:fill="ffffff"/>
          <w:rtl w:val="0"/>
          <w:lang w:val="en-US"/>
          <w14:textFill>
            <w14:solidFill>
              <w14:srgbClr w14:val="323130"/>
            </w14:solidFill>
          </w14:textFill>
        </w:rPr>
        <w:t>ACLU and Mississippi Center for Justice File Lawsuit to Bolster Absentee Voting for Mississippians During COVID-19</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 FOR IMMEDIATE RELEASE</w:t>
      </w:r>
      <w:r>
        <w:rPr>
          <w:rFonts w:ascii="Georgia" w:cs="Georgia" w:hAnsi="Georgia" w:eastAsia="Georgia"/>
          <w:outline w:val="0"/>
          <w:color w:val="000000"/>
          <w:sz w:val="30"/>
          <w:szCs w:val="30"/>
          <w:shd w:val="clear" w:color="auto" w:fill="ffffff"/>
          <w:rtl w:val="0"/>
          <w14:textFill>
            <w14:solidFill>
              <w14:srgbClr w14:val="000000"/>
            </w14:solidFill>
          </w14:textFill>
        </w:rPr>
        <w:br w:type="textWrapping"/>
      </w:r>
      <w:r>
        <w:rPr>
          <w:rFonts w:ascii="Georgia" w:hAnsi="Georgia"/>
          <w:outline w:val="0"/>
          <w:color w:val="323130"/>
          <w:sz w:val="30"/>
          <w:szCs w:val="30"/>
          <w:shd w:val="clear" w:color="auto" w:fill="ffffff"/>
          <w:rtl w:val="0"/>
          <w14:textFill>
            <w14:solidFill>
              <w14:srgbClr w14:val="323130"/>
            </w14:solidFill>
          </w14:textFill>
        </w:rPr>
        <w:t>August 11, 2020</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CONTACT:</w:t>
      </w:r>
      <w:r>
        <w:rPr>
          <w:rFonts w:ascii="Georgia" w:cs="Georgia" w:hAnsi="Georgia" w:eastAsia="Georgia"/>
          <w:outline w:val="0"/>
          <w:color w:val="000000"/>
          <w:sz w:val="30"/>
          <w:szCs w:val="30"/>
          <w:shd w:val="clear" w:color="auto" w:fill="ffffff"/>
          <w:rtl w:val="0"/>
          <w14:textFill>
            <w14:solidFill>
              <w14:srgbClr w14:val="000000"/>
            </w14:solidFill>
          </w14:textFill>
        </w:rPr>
        <w:br w:type="textWrapping"/>
      </w:r>
      <w:r>
        <w:rPr>
          <w:rFonts w:ascii="Georgia" w:hAnsi="Georgia"/>
          <w:outline w:val="0"/>
          <w:color w:val="323130"/>
          <w:sz w:val="30"/>
          <w:szCs w:val="30"/>
          <w:shd w:val="clear" w:color="auto" w:fill="ffffff"/>
          <w:rtl w:val="0"/>
          <w:lang w:val="pt-PT"/>
          <w14:textFill>
            <w14:solidFill>
              <w14:srgbClr w14:val="323130"/>
            </w14:solidFill>
          </w14:textFill>
        </w:rPr>
        <w:t xml:space="preserve">Inga Sarda-Sorensen, ACLU, 347-514-3984, </w: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begin" w:fldLock="0"/>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instrText xml:space="preserve"> HYPERLINK "mailto:isarda-sorensen@aclu.org"</w:instrTex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separate" w:fldLock="0"/>
      </w:r>
      <w:r>
        <w:rPr>
          <w:rStyle w:val="Hyperlink.0"/>
          <w:rFonts w:ascii="Georgia" w:hAnsi="Georgia"/>
          <w:outline w:val="0"/>
          <w:color w:val="323130"/>
          <w:sz w:val="30"/>
          <w:szCs w:val="30"/>
          <w:shd w:val="clear" w:color="auto" w:fill="ffffff"/>
          <w:rtl w:val="0"/>
          <w:lang w:val="pt-PT"/>
          <w14:textFill>
            <w14:solidFill>
              <w14:srgbClr w14:val="323130"/>
            </w14:solidFill>
          </w14:textFill>
        </w:rPr>
        <w:t>isarda-sorensen@aclu.org</w:t>
      </w:r>
      <w:r>
        <w:rPr>
          <w:rFonts w:ascii="Georgia" w:cs="Georgia" w:hAnsi="Georgia" w:eastAsia="Georgia"/>
          <w:outline w:val="0"/>
          <w:color w:val="323130"/>
          <w:sz w:val="30"/>
          <w:szCs w:val="30"/>
          <w:shd w:val="clear" w:color="auto" w:fill="ffffff"/>
          <w:rtl w:val="0"/>
          <w14:textFill>
            <w14:solidFill>
              <w14:srgbClr w14:val="323130"/>
            </w14:solidFill>
          </w14:textFill>
        </w:rPr>
        <w:fldChar w:fldCharType="end" w:fldLock="0"/>
      </w: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Patrick Taylor, Mississippi Center for Justice,</w:t>
      </w:r>
      <w:r>
        <w:rPr>
          <w:rFonts w:ascii="Georgia" w:hAnsi="Georgia"/>
          <w:outline w:val="0"/>
          <w:color w:val="323130"/>
          <w:sz w:val="30"/>
          <w:szCs w:val="30"/>
          <w:shd w:val="clear" w:color="auto" w:fill="ffffff"/>
          <w:rtl w:val="0"/>
          <w:lang w:val="en-US"/>
          <w14:textFill>
            <w14:solidFill>
              <w14:srgbClr w14:val="323130"/>
            </w14:solidFill>
          </w14:textFill>
        </w:rPr>
        <w:t xml:space="preserve"> </w:t>
      </w:r>
      <w:r>
        <w:rPr>
          <w:rFonts w:ascii="Georgia" w:hAnsi="Georgia"/>
          <w:outline w:val="0"/>
          <w:color w:val="323130"/>
          <w:sz w:val="30"/>
          <w:szCs w:val="30"/>
          <w:shd w:val="clear" w:color="auto" w:fill="ffffff"/>
          <w:rtl w:val="0"/>
          <w14:textFill>
            <w14:solidFill>
              <w14:srgbClr w14:val="323130"/>
            </w14:solidFill>
          </w14:textFill>
        </w:rPr>
        <w:t>601-473-4309</w:t>
      </w:r>
      <w:r>
        <w:rPr>
          <w:rFonts w:ascii="Georgia" w:hAnsi="Georgia"/>
          <w:outline w:val="0"/>
          <w:color w:val="323130"/>
          <w:sz w:val="30"/>
          <w:szCs w:val="30"/>
          <w:shd w:val="clear" w:color="auto" w:fill="ffffff"/>
          <w:rtl w:val="0"/>
          <w:lang w:val="en-US"/>
          <w14:textFill>
            <w14:solidFill>
              <w14:srgbClr w14:val="323130"/>
            </w14:solidFill>
          </w14:textFill>
        </w:rPr>
        <w:t xml:space="preserve">, </w: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begin" w:fldLock="0"/>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instrText xml:space="preserve"> HYPERLINK "mailto:ptaylor@mscenterforjustice.org"</w:instrTex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separate" w:fldLock="0"/>
      </w:r>
      <w:r>
        <w:rPr>
          <w:rStyle w:val="Hyperlink.0"/>
          <w:rFonts w:ascii="Georgia" w:hAnsi="Georgia"/>
          <w:outline w:val="0"/>
          <w:color w:val="323130"/>
          <w:sz w:val="30"/>
          <w:szCs w:val="30"/>
          <w:shd w:val="clear" w:color="auto" w:fill="ffffff"/>
          <w:rtl w:val="0"/>
          <w:lang w:val="da-DK"/>
          <w14:textFill>
            <w14:solidFill>
              <w14:srgbClr w14:val="323130"/>
            </w14:solidFill>
          </w14:textFill>
        </w:rPr>
        <w:t>ptaylor@mscenterforjustice.org</w:t>
      </w:r>
      <w:r>
        <w:rPr>
          <w:rFonts w:ascii="Georgia" w:cs="Georgia" w:hAnsi="Georgia" w:eastAsia="Georgia"/>
          <w:outline w:val="0"/>
          <w:color w:val="323130"/>
          <w:sz w:val="30"/>
          <w:szCs w:val="30"/>
          <w:shd w:val="clear" w:color="auto" w:fill="ffffff"/>
          <w:rtl w:val="0"/>
          <w14:textFill>
            <w14:solidFill>
              <w14:srgbClr w14:val="323130"/>
            </w14:solidFill>
          </w14:textFill>
        </w:rPr>
        <w:fldChar w:fldCharType="end" w:fldLock="0"/>
      </w: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de-DE"/>
          <w14:textFill>
            <w14:solidFill>
              <w14:srgbClr w14:val="323130"/>
            </w14:solidFill>
          </w14:textFill>
        </w:rPr>
        <w:t xml:space="preserve">JACKSON,  Miss. </w:t>
      </w:r>
      <w:r>
        <w:rPr>
          <w:rFonts w:ascii="Georgia" w:hAnsi="Georgia" w:hint="default"/>
          <w:outline w:val="0"/>
          <w:color w:val="323130"/>
          <w:sz w:val="30"/>
          <w:szCs w:val="30"/>
          <w:shd w:val="clear" w:color="auto" w:fill="ffffff"/>
          <w:rtl w:val="0"/>
          <w:lang w:val="en-US"/>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The American Civil Liberties Union, ACLU of Mississippi, and Mississippi Center for Justice filed a lawsuit today seeking to ensure that absentee voting is more accessible to Mississippians during the COVID-19 pandemic.</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Most states allow any voter to cast an absentee ballot. Mississippi, however, has long required voters to choose from a list of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excuses</w:t>
      </w:r>
      <w:r>
        <w:rPr>
          <w:rFonts w:ascii="Georgia" w:hAnsi="Georgia" w:hint="default"/>
          <w:outline w:val="0"/>
          <w:color w:val="323130"/>
          <w:sz w:val="30"/>
          <w:szCs w:val="30"/>
          <w:shd w:val="clear" w:color="auto" w:fill="ffffff"/>
          <w:rtl w:val="0"/>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 xml:space="preserve">to do so. One of the allowable reasons is for a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temporary or permanent physical disability.</w:t>
      </w:r>
      <w:r>
        <w:rPr>
          <w:rFonts w:ascii="Georgia" w:hAnsi="Georgia" w:hint="default"/>
          <w:outline w:val="0"/>
          <w:color w:val="323130"/>
          <w:sz w:val="30"/>
          <w:szCs w:val="30"/>
          <w:shd w:val="clear" w:color="auto" w:fill="ffffff"/>
          <w:rtl w:val="0"/>
          <w14:textFill>
            <w14:solidFill>
              <w14:srgbClr w14:val="323130"/>
            </w14:solidFill>
          </w14:textFill>
        </w:rPr>
        <w:t xml:space="preserve">” </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The Legislature recently amended the law to state that a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temporary physical disability</w:t>
      </w:r>
      <w:r>
        <w:rPr>
          <w:rFonts w:ascii="Georgia" w:hAnsi="Georgia" w:hint="default"/>
          <w:outline w:val="0"/>
          <w:color w:val="323130"/>
          <w:sz w:val="30"/>
          <w:szCs w:val="30"/>
          <w:shd w:val="clear" w:color="auto" w:fill="ffffff"/>
          <w:rtl w:val="0"/>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 xml:space="preserve">includes any voter who is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under a physician-imposed quarantine due to COVID-19 during the year 2020 or is caring for a dependent who is under a physician-imposed quarantine due to COVID-19.</w:t>
      </w:r>
      <w:r>
        <w:rPr>
          <w:rFonts w:ascii="Georgia" w:hAnsi="Georgia" w:hint="default"/>
          <w:outline w:val="0"/>
          <w:color w:val="323130"/>
          <w:sz w:val="30"/>
          <w:szCs w:val="30"/>
          <w:shd w:val="clear" w:color="auto" w:fill="ffffff"/>
          <w:rtl w:val="0"/>
          <w14:textFill>
            <w14:solidFill>
              <w14:srgbClr w14:val="323130"/>
            </w14:solidFill>
          </w14:textFill>
        </w:rPr>
        <w:t xml:space="preserve">” </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The groups are seeking a ruling from the court clarifying that all voters who are following public health guidance to avoid contracting or spreading COVID-19 may invoke the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temporary physical disability</w:t>
      </w:r>
      <w:r>
        <w:rPr>
          <w:rFonts w:ascii="Georgia" w:hAnsi="Georgia" w:hint="default"/>
          <w:outline w:val="0"/>
          <w:color w:val="323130"/>
          <w:sz w:val="30"/>
          <w:szCs w:val="30"/>
          <w:shd w:val="clear" w:color="auto" w:fill="ffffff"/>
          <w:rtl w:val="0"/>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reason to vote absentee.</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The lawsuit notes that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 xml:space="preserve">the legislative history of this expansion makes it clear that a </w:t>
      </w:r>
      <w:r>
        <w:rPr>
          <w:rFonts w:ascii="Georgia" w:hAnsi="Georgia" w:hint="default"/>
          <w:outline w:val="0"/>
          <w:color w:val="323130"/>
          <w:sz w:val="30"/>
          <w:szCs w:val="30"/>
          <w:shd w:val="clear" w:color="auto" w:fill="ffffff"/>
          <w:rtl w:val="1"/>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physician-imposed quarantine</w:t>
      </w:r>
      <w:r>
        <w:rPr>
          <w:rFonts w:ascii="Georgia" w:hAnsi="Georgia" w:hint="default"/>
          <w:outline w:val="0"/>
          <w:color w:val="323130"/>
          <w:sz w:val="30"/>
          <w:szCs w:val="30"/>
          <w:shd w:val="clear" w:color="auto" w:fill="ffffff"/>
          <w:rtl w:val="1"/>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does not require a doctor</w:t>
      </w:r>
      <w:r>
        <w:rPr>
          <w:rFonts w:ascii="Georgia" w:hAnsi="Georgia" w:hint="default"/>
          <w:outline w:val="0"/>
          <w:color w:val="323130"/>
          <w:sz w:val="30"/>
          <w:szCs w:val="30"/>
          <w:shd w:val="clear" w:color="auto" w:fill="ffffff"/>
          <w:rtl w:val="1"/>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s guidance given individually to the voter, but would also include guidance from the Mississippi Department of Health (MDH), whose director is a physician, and other public health officials and experts who are physicians.</w:t>
      </w:r>
      <w:r>
        <w:rPr>
          <w:rFonts w:ascii="Georgia" w:hAnsi="Georgia" w:hint="default"/>
          <w:outline w:val="0"/>
          <w:color w:val="323130"/>
          <w:sz w:val="30"/>
          <w:szCs w:val="30"/>
          <w:shd w:val="clear" w:color="auto" w:fill="ffffff"/>
          <w:rtl w:val="0"/>
          <w14:textFill>
            <w14:solidFill>
              <w14:srgbClr w14:val="323130"/>
            </w14:solidFill>
          </w14:textFill>
        </w:rPr>
        <w:t xml:space="preserve">” </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It </w:t>
      </w:r>
      <w:r>
        <w:rPr>
          <w:rFonts w:ascii="Georgia" w:hAnsi="Georgia"/>
          <w:outline w:val="0"/>
          <w:color w:val="323130"/>
          <w:sz w:val="30"/>
          <w:szCs w:val="30"/>
          <w:shd w:val="clear" w:color="auto" w:fill="ffffff"/>
          <w:rtl w:val="0"/>
          <w:lang w:val="en-US"/>
          <w14:textFill>
            <w14:solidFill>
              <w14:srgbClr w14:val="323130"/>
            </w14:solidFill>
          </w14:textFill>
        </w:rPr>
        <w:t xml:space="preserve">also explains that the state health department advises all Mississippi residents to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avoid large social gatherings and community events</w:t>
      </w:r>
      <w:r>
        <w:rPr>
          <w:rFonts w:ascii="Georgia" w:hAnsi="Georgia"/>
          <w:outline w:val="0"/>
          <w:color w:val="323130"/>
          <w:sz w:val="30"/>
          <w:szCs w:val="30"/>
          <w:shd w:val="clear" w:color="auto" w:fill="ffffff"/>
          <w:rtl w:val="0"/>
          <w:lang w:val="en-US"/>
          <w14:textFill>
            <w14:solidFill>
              <w14:srgbClr w14:val="323130"/>
            </w14:solidFill>
          </w14:textFill>
        </w:rPr>
        <w:t>,</w:t>
      </w:r>
      <w:r>
        <w:rPr>
          <w:rFonts w:ascii="Georgia" w:hAnsi="Georgia" w:hint="default"/>
          <w:outline w:val="0"/>
          <w:color w:val="323130"/>
          <w:sz w:val="30"/>
          <w:szCs w:val="30"/>
          <w:shd w:val="clear" w:color="auto" w:fill="ffffff"/>
          <w:rtl w:val="0"/>
          <w14:textFill>
            <w14:solidFill>
              <w14:srgbClr w14:val="323130"/>
            </w14:solidFill>
          </w14:textFill>
        </w:rPr>
        <w:t xml:space="preserve">” </w:t>
      </w:r>
      <w:r>
        <w:rPr>
          <w:rFonts w:ascii="Georgia" w:hAnsi="Georgia"/>
          <w:outline w:val="0"/>
          <w:color w:val="323130"/>
          <w:sz w:val="30"/>
          <w:szCs w:val="30"/>
          <w:shd w:val="clear" w:color="auto" w:fill="ffffff"/>
          <w:rtl w:val="0"/>
          <w:lang w:val="en-US"/>
          <w14:textFill>
            <w14:solidFill>
              <w14:srgbClr w14:val="323130"/>
            </w14:solidFill>
          </w14:textFill>
        </w:rPr>
        <w:t xml:space="preserve">including indoor gatherings of more than </w:t>
      </w:r>
      <w:r>
        <w:rPr>
          <w:rFonts w:ascii="Georgia" w:hAnsi="Georgia"/>
          <w:outline w:val="0"/>
          <w:color w:val="323130"/>
          <w:sz w:val="30"/>
          <w:szCs w:val="30"/>
          <w:shd w:val="clear" w:color="auto" w:fill="ffffff"/>
          <w:rtl w:val="0"/>
          <w:lang w:val="en-US"/>
          <w14:textFill>
            <w14:solidFill>
              <w14:srgbClr w14:val="323130"/>
            </w14:solidFill>
          </w14:textFill>
        </w:rPr>
        <w:t>10</w:t>
      </w:r>
      <w:r>
        <w:rPr>
          <w:rFonts w:ascii="Georgia" w:hAnsi="Georgia"/>
          <w:outline w:val="0"/>
          <w:color w:val="323130"/>
          <w:sz w:val="30"/>
          <w:szCs w:val="30"/>
          <w:shd w:val="clear" w:color="auto" w:fill="ffffff"/>
          <w:rtl w:val="0"/>
          <w:lang w:val="en-US"/>
          <w14:textFill>
            <w14:solidFill>
              <w14:srgbClr w14:val="323130"/>
            </w14:solidFill>
          </w14:textFill>
        </w:rPr>
        <w:t xml:space="preserve"> people, which would include most polling places during much of the time on </w:t>
      </w:r>
      <w:r>
        <w:rPr>
          <w:rFonts w:ascii="Georgia" w:hAnsi="Georgia"/>
          <w:outline w:val="0"/>
          <w:color w:val="323130"/>
          <w:sz w:val="30"/>
          <w:szCs w:val="30"/>
          <w:shd w:val="clear" w:color="auto" w:fill="ffffff"/>
          <w:rtl w:val="0"/>
          <w:lang w:val="en-US"/>
          <w14:textFill>
            <w14:solidFill>
              <w14:srgbClr w14:val="323130"/>
            </w14:solidFill>
          </w14:textFill>
        </w:rPr>
        <w:t>E</w:t>
      </w:r>
      <w:r>
        <w:rPr>
          <w:rFonts w:ascii="Georgia" w:hAnsi="Georgia"/>
          <w:outline w:val="0"/>
          <w:color w:val="323130"/>
          <w:sz w:val="30"/>
          <w:szCs w:val="30"/>
          <w:shd w:val="clear" w:color="auto" w:fill="ffffff"/>
          <w:rtl w:val="0"/>
          <w:lang w:val="fr-FR"/>
          <w14:textFill>
            <w14:solidFill>
              <w14:srgbClr w14:val="323130"/>
            </w14:solidFill>
          </w14:textFill>
        </w:rPr>
        <w:t xml:space="preserve">lection </w:t>
      </w:r>
      <w:r>
        <w:rPr>
          <w:rFonts w:ascii="Georgia" w:hAnsi="Georgia"/>
          <w:outline w:val="0"/>
          <w:color w:val="323130"/>
          <w:sz w:val="30"/>
          <w:szCs w:val="30"/>
          <w:shd w:val="clear" w:color="auto" w:fill="ffffff"/>
          <w:rtl w:val="0"/>
          <w:lang w:val="en-US"/>
          <w14:textFill>
            <w14:solidFill>
              <w14:srgbClr w14:val="323130"/>
            </w14:solidFill>
          </w14:textFill>
        </w:rPr>
        <w:t>D</w:t>
      </w:r>
      <w:r>
        <w:rPr>
          <w:rFonts w:ascii="Georgia" w:hAnsi="Georgia"/>
          <w:outline w:val="0"/>
          <w:color w:val="323130"/>
          <w:sz w:val="30"/>
          <w:szCs w:val="30"/>
          <w:shd w:val="clear" w:color="auto" w:fill="ffffff"/>
          <w:rtl w:val="0"/>
          <w:lang w:val="en-US"/>
          <w14:textFill>
            <w14:solidFill>
              <w14:srgbClr w14:val="323130"/>
            </w14:solidFill>
          </w14:textFill>
        </w:rPr>
        <w:t xml:space="preserve">ay. According to the lawsuit, Mississippians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have a right to follow that guidance without surrendering the right to vote.</w:t>
      </w:r>
      <w:r>
        <w:rPr>
          <w:rFonts w:ascii="Georgia" w:hAnsi="Georgia" w:hint="default"/>
          <w:outline w:val="0"/>
          <w:color w:val="323130"/>
          <w:sz w:val="30"/>
          <w:szCs w:val="30"/>
          <w:shd w:val="clear" w:color="auto" w:fill="ffffff"/>
          <w:rtl w:val="0"/>
          <w14:textFill>
            <w14:solidFill>
              <w14:srgbClr w14:val="323130"/>
            </w14:solidFill>
          </w14:textFill>
        </w:rPr>
        <w:t xml:space="preserve">”  </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The </w:t>
      </w:r>
      <w:r>
        <w:rPr>
          <w:rFonts w:ascii="Georgia" w:hAnsi="Georgia"/>
          <w:outline w:val="0"/>
          <w:color w:val="323130"/>
          <w:sz w:val="30"/>
          <w:szCs w:val="30"/>
          <w:shd w:val="clear" w:color="auto" w:fill="ffffff"/>
          <w:rtl w:val="0"/>
          <w:lang w:val="en-US"/>
          <w14:textFill>
            <w14:solidFill>
              <w14:srgbClr w14:val="323130"/>
            </w14:solidFill>
          </w14:textFill>
        </w:rPr>
        <w:t xml:space="preserve">case </w:t>
      </w:r>
      <w:r>
        <w:rPr>
          <w:rFonts w:ascii="Georgia" w:hAnsi="Georgia"/>
          <w:outline w:val="0"/>
          <w:color w:val="323130"/>
          <w:sz w:val="30"/>
          <w:szCs w:val="30"/>
          <w:shd w:val="clear" w:color="auto" w:fill="ffffff"/>
          <w:rtl w:val="0"/>
          <w:lang w:val="en-US"/>
          <w14:textFill>
            <w14:solidFill>
              <w14:srgbClr w14:val="323130"/>
            </w14:solidFill>
          </w14:textFill>
        </w:rPr>
        <w:t xml:space="preserve">was filed on behalf of several Mississippians who are following public health guidance and who want to vote, but are fearful of contracting COVID-19 if they ignore that guidance and vote in person on Election Day.  </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The following comment is from:</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b w:val="1"/>
          <w:bCs w:val="1"/>
          <w:outline w:val="0"/>
          <w:color w:val="323130"/>
          <w:sz w:val="30"/>
          <w:szCs w:val="30"/>
          <w:shd w:val="clear" w:color="auto" w:fill="ffffff"/>
          <w:rtl w:val="0"/>
          <w:lang w:val="en-US"/>
          <w14:textFill>
            <w14:solidFill>
              <w14:srgbClr w14:val="323130"/>
            </w14:solidFill>
          </w14:textFill>
        </w:rPr>
        <w:t xml:space="preserve">Joshua Tom, legal director, ACLU of Mississippi: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This lawsuit makes clear that Mississippi law allows absentee voting for many people during an event like the COVID-19 pandemic.</w:t>
      </w:r>
      <w:r>
        <w:rPr>
          <w:rFonts w:ascii="Georgia" w:hAnsi="Georgia" w:hint="default"/>
          <w:outline w:val="0"/>
          <w:color w:val="323130"/>
          <w:sz w:val="30"/>
          <w:szCs w:val="30"/>
          <w:shd w:val="clear" w:color="auto" w:fill="ffffff"/>
          <w:rtl w:val="0"/>
          <w14:textFill>
            <w14:solidFill>
              <w14:srgbClr w14:val="323130"/>
            </w14:solidFill>
          </w14:textFill>
        </w:rPr>
        <w:t>”</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b w:val="1"/>
          <w:bCs w:val="1"/>
          <w:outline w:val="0"/>
          <w:color w:val="323130"/>
          <w:sz w:val="30"/>
          <w:szCs w:val="30"/>
          <w:shd w:val="clear" w:color="auto" w:fill="ffffff"/>
          <w:rtl w:val="0"/>
          <w:lang w:val="en-US"/>
          <w14:textFill>
            <w14:solidFill>
              <w14:srgbClr w14:val="323130"/>
            </w14:solidFill>
          </w14:textFill>
        </w:rPr>
        <w:t>Theresa Lee, staff attorney, ACLU</w:t>
      </w:r>
      <w:r>
        <w:rPr>
          <w:rFonts w:ascii="Georgia" w:hAnsi="Georgia" w:hint="default"/>
          <w:b w:val="1"/>
          <w:bCs w:val="1"/>
          <w:outline w:val="0"/>
          <w:color w:val="323130"/>
          <w:sz w:val="30"/>
          <w:szCs w:val="30"/>
          <w:shd w:val="clear" w:color="auto" w:fill="ffffff"/>
          <w:rtl w:val="1"/>
          <w14:textFill>
            <w14:solidFill>
              <w14:srgbClr w14:val="323130"/>
            </w14:solidFill>
          </w14:textFill>
        </w:rPr>
        <w:t>’</w:t>
      </w:r>
      <w:r>
        <w:rPr>
          <w:rFonts w:ascii="Georgia" w:hAnsi="Georgia"/>
          <w:b w:val="1"/>
          <w:bCs w:val="1"/>
          <w:outline w:val="0"/>
          <w:color w:val="323130"/>
          <w:sz w:val="30"/>
          <w:szCs w:val="30"/>
          <w:shd w:val="clear" w:color="auto" w:fill="ffffff"/>
          <w:rtl w:val="0"/>
          <w:lang w:val="en-US"/>
          <w14:textFill>
            <w14:solidFill>
              <w14:srgbClr w14:val="323130"/>
            </w14:solidFill>
          </w14:textFill>
        </w:rPr>
        <w:t xml:space="preserve">s Voting Rights Project: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Mississippians should not have to risk exposure to a deadly virus in order to vote. The court can ensure that voters do not have to choose between their health and their vote.</w:t>
      </w:r>
      <w:r>
        <w:rPr>
          <w:rFonts w:ascii="Georgia" w:hAnsi="Georgia" w:hint="default"/>
          <w:outline w:val="0"/>
          <w:color w:val="323130"/>
          <w:sz w:val="30"/>
          <w:szCs w:val="30"/>
          <w:shd w:val="clear" w:color="auto" w:fill="ffffff"/>
          <w:rtl w:val="0"/>
          <w14:textFill>
            <w14:solidFill>
              <w14:srgbClr w14:val="323130"/>
            </w14:solidFill>
          </w14:textFill>
        </w:rPr>
        <w:t>”</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b w:val="1"/>
          <w:bCs w:val="1"/>
          <w:outline w:val="0"/>
          <w:color w:val="323130"/>
          <w:sz w:val="30"/>
          <w:szCs w:val="30"/>
          <w:shd w:val="clear" w:color="auto" w:fill="ffffff"/>
          <w:rtl w:val="0"/>
          <w:lang w:val="en-US"/>
          <w14:textFill>
            <w14:solidFill>
              <w14:srgbClr w14:val="323130"/>
            </w14:solidFill>
          </w14:textFill>
        </w:rPr>
        <w:t xml:space="preserve">Vangela M. Wade, president and CEO, Mississippi Center for Justice: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Over the last month, Mississippi has proven to be a consistent COVID-19 hot spot with the numbers of infections and deaths increasing, not decreasing. Any requirement that citizens gather in polling places to cast their ballots would show a callous disregard for the health of our communities that would likely chill the voting process resulting in constructive disenfranchisement of thousands.</w:t>
      </w:r>
      <w:r>
        <w:rPr>
          <w:rFonts w:ascii="Georgia" w:hAnsi="Georgia" w:hint="default"/>
          <w:outline w:val="0"/>
          <w:color w:val="323130"/>
          <w:sz w:val="30"/>
          <w:szCs w:val="30"/>
          <w:shd w:val="clear" w:color="auto" w:fill="ffffff"/>
          <w:rtl w:val="0"/>
          <w14:textFill>
            <w14:solidFill>
              <w14:srgbClr w14:val="323130"/>
            </w14:solidFill>
          </w14:textFill>
        </w:rPr>
        <w:t>”</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r>
        <w:rPr>
          <w:rFonts w:ascii="Georgia" w:hAnsi="Georgia"/>
          <w:b w:val="1"/>
          <w:bCs w:val="1"/>
          <w:outline w:val="0"/>
          <w:color w:val="323130"/>
          <w:sz w:val="30"/>
          <w:szCs w:val="30"/>
          <w:shd w:val="clear" w:color="auto" w:fill="ffffff"/>
          <w:rtl w:val="0"/>
          <w:lang w:val="en-US"/>
          <w14:textFill>
            <w14:solidFill>
              <w14:srgbClr w14:val="323130"/>
            </w14:solidFill>
          </w14:textFill>
        </w:rPr>
        <w:t xml:space="preserve">Rob McDuff, director of the George Riley Impact Litigation Initiative, Mississippi Center for Justice: </w:t>
      </w:r>
      <w:r>
        <w:rPr>
          <w:rFonts w:ascii="Georgia" w:hAnsi="Georgia" w:hint="default"/>
          <w:outline w:val="0"/>
          <w:color w:val="323130"/>
          <w:sz w:val="30"/>
          <w:szCs w:val="30"/>
          <w:shd w:val="clear" w:color="auto" w:fill="ffffff"/>
          <w:rtl w:val="1"/>
          <w:lang w:val="ar-SA" w:bidi="ar-SA"/>
          <w14:textFill>
            <w14:solidFill>
              <w14:srgbClr w14:val="323130"/>
            </w14:solidFill>
          </w14:textFill>
        </w:rPr>
        <w:t>“</w:t>
      </w:r>
      <w:r>
        <w:rPr>
          <w:rFonts w:ascii="Georgia" w:hAnsi="Georgia"/>
          <w:outline w:val="0"/>
          <w:color w:val="323130"/>
          <w:sz w:val="30"/>
          <w:szCs w:val="30"/>
          <w:shd w:val="clear" w:color="auto" w:fill="ffffff"/>
          <w:rtl w:val="0"/>
          <w:lang w:val="en-US"/>
          <w14:textFill>
            <w14:solidFill>
              <w14:srgbClr w14:val="323130"/>
            </w14:solidFill>
          </w14:textFill>
        </w:rPr>
        <w:t>The history surrounding the amendment this past summer makes two things clear: first, voters are allowed to make their own decisions about whether to vote absentee in light of public health guidance, and second, voters may choose to vote absentee if they are afraid of contracting COVID-19 by voting in person on Election Day.</w:t>
      </w:r>
      <w:r>
        <w:rPr>
          <w:rFonts w:ascii="Georgia" w:hAnsi="Georgia" w:hint="default"/>
          <w:outline w:val="0"/>
          <w:color w:val="323130"/>
          <w:sz w:val="30"/>
          <w:szCs w:val="30"/>
          <w:shd w:val="clear" w:color="auto" w:fill="ffffff"/>
          <w:rtl w:val="0"/>
          <w14:textFill>
            <w14:solidFill>
              <w14:srgbClr w14:val="323130"/>
            </w14:solidFill>
          </w14:textFill>
        </w:rPr>
        <w:t>”</w:t>
      </w:r>
    </w:p>
    <w:p>
      <w:pPr>
        <w:pStyle w:val="Default"/>
        <w:bidi w:val="0"/>
        <w:spacing w:before="0"/>
        <w:ind w:left="0" w:right="0" w:firstLine="0"/>
        <w:jc w:val="left"/>
        <w:rPr>
          <w:rFonts w:ascii="Georgia" w:cs="Georgia" w:hAnsi="Georgia" w:eastAsia="Georgia"/>
          <w:sz w:val="30"/>
          <w:szCs w:val="30"/>
          <w:shd w:val="clear" w:color="auto" w:fill="ffffff"/>
          <w:rtl w:val="0"/>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The lawsuit, </w:t>
      </w:r>
      <w:r>
        <w:rPr>
          <w:rFonts w:ascii="Georgia" w:hAnsi="Georgia"/>
          <w:outline w:val="0"/>
          <w:color w:val="323130"/>
          <w:sz w:val="30"/>
          <w:szCs w:val="30"/>
          <w:shd w:val="clear" w:color="auto" w:fill="ffffff"/>
          <w:rtl w:val="0"/>
          <w:lang w:val="en-US"/>
          <w14:textFill>
            <w14:solidFill>
              <w14:srgbClr w14:val="323130"/>
            </w14:solidFill>
          </w14:textFill>
        </w:rPr>
        <w:t xml:space="preserve"> </w:t>
      </w:r>
      <w:r>
        <w:rPr>
          <w:rFonts w:ascii="Georgia" w:hAnsi="Georgia"/>
          <w:i w:val="1"/>
          <w:iCs w:val="1"/>
          <w:outline w:val="0"/>
          <w:color w:val="323130"/>
          <w:sz w:val="30"/>
          <w:szCs w:val="30"/>
          <w:shd w:val="clear" w:color="auto" w:fill="ffffff"/>
          <w:rtl w:val="0"/>
          <w:lang w:val="en-US"/>
          <w14:textFill>
            <w14:solidFill>
              <w14:srgbClr w14:val="323130"/>
            </w14:solidFill>
          </w14:textFill>
        </w:rPr>
        <w:t>Oppenheim</w:t>
      </w:r>
      <w:r>
        <w:rPr>
          <w:rFonts w:ascii="Georgia" w:hAnsi="Georgia"/>
          <w:outline w:val="0"/>
          <w:color w:val="323130"/>
          <w:sz w:val="30"/>
          <w:szCs w:val="30"/>
          <w:shd w:val="clear" w:color="auto" w:fill="ffffff"/>
          <w:rtl w:val="0"/>
          <w:lang w:val="en-US"/>
          <w14:textFill>
            <w14:solidFill>
              <w14:srgbClr w14:val="323130"/>
            </w14:solidFill>
          </w14:textFill>
        </w:rPr>
        <w:t xml:space="preserve"> </w:t>
      </w:r>
      <w:r>
        <w:rPr>
          <w:rFonts w:ascii="Georgia" w:hAnsi="Georgia"/>
          <w:i w:val="1"/>
          <w:iCs w:val="1"/>
          <w:outline w:val="0"/>
          <w:color w:val="323130"/>
          <w:sz w:val="30"/>
          <w:szCs w:val="30"/>
          <w:shd w:val="clear" w:color="auto" w:fill="ffffff"/>
          <w:rtl w:val="0"/>
          <w14:textFill>
            <w14:solidFill>
              <w14:srgbClr w14:val="323130"/>
            </w14:solidFill>
          </w14:textFill>
        </w:rPr>
        <w:t>v. Watson</w:t>
      </w:r>
      <w:r>
        <w:rPr>
          <w:rFonts w:ascii="Georgia" w:hAnsi="Georgia"/>
          <w:outline w:val="0"/>
          <w:color w:val="323130"/>
          <w:sz w:val="30"/>
          <w:szCs w:val="30"/>
          <w:shd w:val="clear" w:color="auto" w:fill="ffffff"/>
          <w:rtl w:val="0"/>
          <w:lang w:val="en-US"/>
          <w14:textFill>
            <w14:solidFill>
              <w14:srgbClr w14:val="323130"/>
            </w14:solidFill>
          </w14:textFill>
        </w:rPr>
        <w:t>, was filed in Chancery Court/Hinds County, First Judicial District.</w:t>
      </w: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Complaint: </w: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begin" w:fldLock="0"/>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instrText xml:space="preserve"> HYPERLINK "https://www.aclu.org/complaint-oppenheim-v-watson"</w:instrTex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separate" w:fldLock="0"/>
      </w:r>
      <w:r>
        <w:rPr>
          <w:rStyle w:val="Hyperlink.0"/>
          <w:rFonts w:ascii="Georgia" w:hAnsi="Georgia"/>
          <w:outline w:val="0"/>
          <w:color w:val="323130"/>
          <w:sz w:val="30"/>
          <w:szCs w:val="30"/>
          <w:shd w:val="clear" w:color="auto" w:fill="ffffff"/>
          <w:rtl w:val="0"/>
          <w:lang w:val="en-US"/>
          <w14:textFill>
            <w14:solidFill>
              <w14:srgbClr w14:val="323130"/>
            </w14:solidFill>
          </w14:textFill>
        </w:rPr>
        <w:t>https://www.aclu.org/complaint-oppenheim-v-watson</w:t>
      </w:r>
      <w:r>
        <w:rPr>
          <w:rFonts w:ascii="Georgia" w:cs="Georgia" w:hAnsi="Georgia" w:eastAsia="Georgia"/>
          <w:outline w:val="0"/>
          <w:color w:val="323130"/>
          <w:sz w:val="30"/>
          <w:szCs w:val="30"/>
          <w:shd w:val="clear" w:color="auto" w:fill="ffffff"/>
          <w:rtl w:val="0"/>
          <w14:textFill>
            <w14:solidFill>
              <w14:srgbClr w14:val="323130"/>
            </w14:solidFill>
          </w14:textFill>
        </w:rPr>
        <w:fldChar w:fldCharType="end" w:fldLock="0"/>
      </w: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Statement: </w: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begin" w:fldLock="0"/>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instrText xml:space="preserve"> HYPERLINK "https://www.aclu.org/press-releases/aclu-and-mississippi-center-justice-file-lawsuit-bolster-absentee-voting"</w:instrTex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separate" w:fldLock="0"/>
      </w:r>
      <w:r>
        <w:rPr>
          <w:rStyle w:val="Hyperlink.0"/>
          <w:rFonts w:ascii="Georgia" w:hAnsi="Georgia"/>
          <w:outline w:val="0"/>
          <w:color w:val="323130"/>
          <w:sz w:val="30"/>
          <w:szCs w:val="30"/>
          <w:shd w:val="clear" w:color="auto" w:fill="ffffff"/>
          <w:rtl w:val="0"/>
          <w:lang w:val="en-US"/>
          <w14:textFill>
            <w14:solidFill>
              <w14:srgbClr w14:val="323130"/>
            </w14:solidFill>
          </w14:textFill>
        </w:rPr>
        <w:t>https://www.aclu.org/press-releases/aclu-and-mississippi-center-justice-file-lawsuit-bolster-absentee-voting</w:t>
      </w:r>
      <w:r>
        <w:rPr>
          <w:rFonts w:ascii="Georgia" w:cs="Georgia" w:hAnsi="Georgia" w:eastAsia="Georgia"/>
          <w:outline w:val="0"/>
          <w:color w:val="323130"/>
          <w:sz w:val="30"/>
          <w:szCs w:val="30"/>
          <w:shd w:val="clear" w:color="auto" w:fill="ffffff"/>
          <w:rtl w:val="0"/>
          <w14:textFill>
            <w14:solidFill>
              <w14:srgbClr w14:val="323130"/>
            </w14:solidFill>
          </w14:textFill>
        </w:rPr>
        <w:fldChar w:fldCharType="end" w:fldLock="0"/>
      </w: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r>
        <w:rPr>
          <w:rFonts w:ascii="Georgia" w:hAnsi="Georgia"/>
          <w:outline w:val="0"/>
          <w:color w:val="323130"/>
          <w:sz w:val="30"/>
          <w:szCs w:val="30"/>
          <w:shd w:val="clear" w:color="auto" w:fill="ffffff"/>
          <w:rtl w:val="0"/>
          <w:lang w:val="en-US"/>
          <w14:textFill>
            <w14:solidFill>
              <w14:srgbClr w14:val="323130"/>
            </w14:solidFill>
          </w14:textFill>
        </w:rPr>
        <w:t xml:space="preserve">Case details: </w: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begin" w:fldLock="0"/>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instrText xml:space="preserve"> HYPERLINK "https://www.aclu.org/cases/oppenheim-v-watson"</w:instrText>
      </w:r>
      <w:r>
        <w:rPr>
          <w:rStyle w:val="Hyperlink.0"/>
          <w:rFonts w:ascii="Georgia" w:cs="Georgia" w:hAnsi="Georgia" w:eastAsia="Georgia"/>
          <w:outline w:val="0"/>
          <w:color w:val="323130"/>
          <w:sz w:val="30"/>
          <w:szCs w:val="30"/>
          <w:shd w:val="clear" w:color="auto" w:fill="ffffff"/>
          <w:rtl w:val="0"/>
          <w14:textFill>
            <w14:solidFill>
              <w14:srgbClr w14:val="323130"/>
            </w14:solidFill>
          </w14:textFill>
        </w:rPr>
        <w:fldChar w:fldCharType="separate" w:fldLock="0"/>
      </w:r>
      <w:r>
        <w:rPr>
          <w:rStyle w:val="Hyperlink.0"/>
          <w:rFonts w:ascii="Georgia" w:hAnsi="Georgia"/>
          <w:outline w:val="0"/>
          <w:color w:val="323130"/>
          <w:sz w:val="30"/>
          <w:szCs w:val="30"/>
          <w:shd w:val="clear" w:color="auto" w:fill="ffffff"/>
          <w:rtl w:val="0"/>
          <w:lang w:val="en-US"/>
          <w14:textFill>
            <w14:solidFill>
              <w14:srgbClr w14:val="323130"/>
            </w14:solidFill>
          </w14:textFill>
        </w:rPr>
        <w:t>https://www.aclu.org/cases/oppenheim-v-watson</w:t>
      </w:r>
      <w:r>
        <w:rPr>
          <w:rFonts w:ascii="Georgia" w:cs="Georgia" w:hAnsi="Georgia" w:eastAsia="Georgia"/>
          <w:outline w:val="0"/>
          <w:color w:val="323130"/>
          <w:sz w:val="30"/>
          <w:szCs w:val="30"/>
          <w:shd w:val="clear" w:color="auto" w:fill="ffffff"/>
          <w:rtl w:val="0"/>
          <w14:textFill>
            <w14:solidFill>
              <w14:srgbClr w14:val="323130"/>
            </w14:solidFill>
          </w14:textFill>
        </w:rPr>
        <w:fldChar w:fldCharType="end" w:fldLock="0"/>
      </w: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p>
    <w:p>
      <w:pPr>
        <w:pStyle w:val="Default"/>
        <w:bidi w:val="0"/>
        <w:spacing w:before="0"/>
        <w:ind w:left="0" w:right="0" w:firstLine="0"/>
        <w:jc w:val="left"/>
        <w:rPr>
          <w:rFonts w:ascii="Georgia" w:cs="Georgia" w:hAnsi="Georgia" w:eastAsia="Georgia"/>
          <w:outline w:val="0"/>
          <w:color w:val="323130"/>
          <w:sz w:val="30"/>
          <w:szCs w:val="30"/>
          <w:shd w:val="clear" w:color="auto" w:fill="ffffff"/>
          <w:rtl w:val="0"/>
          <w14:textFill>
            <w14:solidFill>
              <w14:srgbClr w14:val="323130"/>
            </w14:solidFill>
          </w14:textFill>
        </w:rPr>
      </w:pPr>
    </w:p>
    <w:p>
      <w:pPr>
        <w:pStyle w:val="Default"/>
        <w:bidi w:val="0"/>
        <w:spacing w:before="0"/>
        <w:ind w:left="0" w:right="0" w:firstLine="0"/>
        <w:jc w:val="left"/>
        <w:rPr>
          <w:rFonts w:ascii="Georgia" w:cs="Georgia" w:hAnsi="Georgia" w:eastAsia="Georgia"/>
          <w:outline w:val="0"/>
          <w:color w:val="000000"/>
          <w:sz w:val="30"/>
          <w:szCs w:val="30"/>
          <w:shd w:val="clear" w:color="auto" w:fill="ffffff"/>
          <w:rtl w:val="0"/>
          <w14:textFill>
            <w14:solidFill>
              <w14:srgbClr w14:val="000000"/>
            </w14:solidFill>
          </w14:textFill>
        </w:rPr>
      </w:pPr>
    </w:p>
    <w:p>
      <w:pPr>
        <w:pStyle w:val="Default"/>
        <w:bidi w:val="0"/>
        <w:spacing w:before="0"/>
        <w:ind w:left="0" w:right="0" w:firstLine="0"/>
        <w:jc w:val="left"/>
        <w:rPr>
          <w:rtl w:val="0"/>
        </w:rPr>
      </w:pPr>
      <w:r>
        <w:rPr>
          <w:rFonts w:ascii="Georgia" w:hAnsi="Georgia"/>
          <w:outline w:val="0"/>
          <w:color w:val="323130"/>
          <w:sz w:val="30"/>
          <w:szCs w:val="30"/>
          <w:shd w:val="clear" w:color="auto" w:fill="ffffff"/>
          <w:rtl w:val="0"/>
          <w14:textFill>
            <w14:solidFill>
              <w14:srgbClr w14:val="323130"/>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