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0DCF" w14:textId="3B9D2A09" w:rsidR="000F6E0D" w:rsidRDefault="00D2611A" w:rsidP="00D2611A">
      <w:pPr>
        <w:jc w:val="center"/>
        <w:rPr>
          <w:b/>
          <w:bCs/>
          <w:u w:val="single"/>
        </w:rPr>
      </w:pPr>
      <w:r w:rsidRPr="00D2611A">
        <w:rPr>
          <w:b/>
          <w:bCs/>
          <w:u w:val="single"/>
        </w:rPr>
        <w:t>Timeline of Changes to Social Benefit Programs</w:t>
      </w:r>
    </w:p>
    <w:p w14:paraId="7DBB59A1" w14:textId="0FD0EC41" w:rsidR="00FF48D3" w:rsidRPr="00D2611A" w:rsidRDefault="004874D1" w:rsidP="004874D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Medicaid </w:t>
      </w:r>
    </w:p>
    <w:p w14:paraId="6EF870A0" w14:textId="66F13C9E" w:rsidR="00F0070C" w:rsidRDefault="00F0070C" w:rsidP="00F0070C">
      <w:pPr>
        <w:shd w:val="clear" w:color="auto" w:fill="FFFFFF"/>
        <w:spacing w:beforeAutospacing="1" w:after="0" w:afterAutospacing="1" w:line="240" w:lineRule="auto"/>
        <w:ind w:left="360"/>
        <w:textAlignment w:val="baseline"/>
      </w:pPr>
      <w:r w:rsidRPr="00FA3DBC">
        <w:rPr>
          <w:b/>
          <w:bCs/>
        </w:rPr>
        <w:t>Rural health transformation</w:t>
      </w:r>
      <w:r>
        <w:t>: The bill establishes a $50 billion fund to support rural hospitals</w:t>
      </w:r>
      <w:r w:rsidR="0058472B">
        <w:t xml:space="preserve"> FY 2026 through FY 2030. </w:t>
      </w:r>
      <w:r w:rsidR="00B41F89" w:rsidRPr="00B41F89">
        <w:rPr>
          <w:b/>
          <w:bCs/>
        </w:rPr>
        <w:t xml:space="preserve">Effective Immediately. </w:t>
      </w:r>
    </w:p>
    <w:p w14:paraId="1251A752" w14:textId="07568244" w:rsidR="00251FB3" w:rsidRDefault="00251FB3" w:rsidP="00251FB3">
      <w:pPr>
        <w:shd w:val="clear" w:color="auto" w:fill="FFFFFF"/>
        <w:spacing w:beforeAutospacing="1" w:after="0" w:afterAutospacing="1" w:line="240" w:lineRule="auto"/>
        <w:ind w:left="360"/>
        <w:textAlignment w:val="baseline"/>
      </w:pPr>
      <w:r>
        <w:rPr>
          <w:b/>
          <w:bCs/>
        </w:rPr>
        <w:t>Free Choice of Provider:</w:t>
      </w:r>
      <w:r>
        <w:t xml:space="preserve"> Prohibits Medicaid funds to be paid to </w:t>
      </w:r>
      <w:r w:rsidR="00F675C2">
        <w:t>providing</w:t>
      </w:r>
      <w:r>
        <w:t xml:space="preserve"> nonprofit organizations, essential community providers primarily engaged in family planning services or reproductive services that have received $800,00 or more in payments from Medicaid in </w:t>
      </w:r>
      <w:r w:rsidR="00AA3FEA">
        <w:t>FY</w:t>
      </w:r>
      <w:r>
        <w:t xml:space="preserve">2023. </w:t>
      </w:r>
      <w:r w:rsidRPr="002D15B8">
        <w:rPr>
          <w:b/>
          <w:bCs/>
        </w:rPr>
        <w:t>Effective immediately</w:t>
      </w:r>
      <w:r>
        <w:t xml:space="preserve">. </w:t>
      </w:r>
    </w:p>
    <w:p w14:paraId="00D1F932" w14:textId="7F7DBE18" w:rsidR="00251FB3" w:rsidRDefault="00251FB3" w:rsidP="00251FB3">
      <w:pPr>
        <w:shd w:val="clear" w:color="auto" w:fill="FFFFFF"/>
        <w:spacing w:beforeAutospacing="1" w:after="0" w:afterAutospacing="1" w:line="240" w:lineRule="auto"/>
        <w:ind w:left="360"/>
        <w:textAlignment w:val="baseline"/>
      </w:pPr>
      <w:r>
        <w:rPr>
          <w:b/>
          <w:bCs/>
        </w:rPr>
        <w:t>Gender Affirming Care:</w:t>
      </w:r>
      <w:r>
        <w:t xml:space="preserve"> Prohibits federal matching funds for “gender transition procedures”, defined to include puberty blockers, hormone treatment, and surgery, for any individuals enrolled in Medicaid and Chip. </w:t>
      </w:r>
      <w:r w:rsidRPr="002152E3">
        <w:rPr>
          <w:b/>
          <w:bCs/>
        </w:rPr>
        <w:t>Effective immediately</w:t>
      </w:r>
      <w:r>
        <w:t xml:space="preserve">. </w:t>
      </w:r>
    </w:p>
    <w:p w14:paraId="6608FBDA" w14:textId="1E873CF3" w:rsidR="00F0070C" w:rsidRDefault="00F0070C" w:rsidP="00F0070C">
      <w:pPr>
        <w:shd w:val="clear" w:color="auto" w:fill="FFFFFF"/>
        <w:spacing w:beforeAutospacing="1" w:after="0" w:afterAutospacing="1" w:line="240" w:lineRule="auto"/>
        <w:ind w:left="360"/>
        <w:textAlignment w:val="baseline"/>
      </w:pPr>
      <w:r w:rsidRPr="00A666BB">
        <w:rPr>
          <w:b/>
          <w:bCs/>
        </w:rPr>
        <w:t>R</w:t>
      </w:r>
      <w:r w:rsidR="00392A55">
        <w:rPr>
          <w:b/>
          <w:bCs/>
        </w:rPr>
        <w:t xml:space="preserve">etroactive Coverage: </w:t>
      </w:r>
      <w:r w:rsidR="00550A09">
        <w:t xml:space="preserve">Limits retroactive coverage for two months prior to application for </w:t>
      </w:r>
      <w:r w:rsidR="00933E18">
        <w:t>coverage.</w:t>
      </w:r>
      <w:r w:rsidR="006E4414">
        <w:t xml:space="preserve"> Additionally, CHIP coverage </w:t>
      </w:r>
      <w:proofErr w:type="gramStart"/>
      <w:r w:rsidR="00D06473">
        <w:t>may retroactively</w:t>
      </w:r>
      <w:proofErr w:type="gramEnd"/>
      <w:r w:rsidR="00D06473">
        <w:t xml:space="preserve"> begin two months prior to the application filing date.</w:t>
      </w:r>
      <w:r w:rsidR="00933E18">
        <w:t xml:space="preserve"> </w:t>
      </w:r>
      <w:r w:rsidR="0090674C">
        <w:rPr>
          <w:b/>
          <w:bCs/>
        </w:rPr>
        <w:t>December 31, 2026</w:t>
      </w:r>
      <w:r w:rsidR="00933E18">
        <w:t xml:space="preserve">. </w:t>
      </w:r>
    </w:p>
    <w:p w14:paraId="49613494" w14:textId="19540DB7" w:rsidR="007E17EC" w:rsidRPr="007E17EC" w:rsidRDefault="007E17EC" w:rsidP="007E17EC">
      <w:pPr>
        <w:shd w:val="clear" w:color="auto" w:fill="FFFFFF"/>
        <w:spacing w:beforeAutospacing="1" w:after="0" w:afterAutospacing="1" w:line="240" w:lineRule="auto"/>
        <w:ind w:left="360"/>
        <w:textAlignment w:val="baseline"/>
        <w:rPr>
          <w:rFonts w:eastAsia="Times New Roman" w:cs="Open Sans"/>
          <w:color w:val="262222"/>
          <w:kern w:val="0"/>
          <w14:ligatures w14:val="none"/>
        </w:rPr>
      </w:pPr>
      <w:r>
        <w:rPr>
          <w:rFonts w:eastAsia="Times New Roman" w:cs="Open Sans"/>
          <w:b/>
          <w:bCs/>
          <w:color w:val="262222"/>
          <w:kern w:val="0"/>
          <w14:ligatures w14:val="none"/>
        </w:rPr>
        <w:t xml:space="preserve">Provider Taxes: </w:t>
      </w:r>
      <w:r>
        <w:rPr>
          <w:rFonts w:eastAsia="Times New Roman" w:cs="Open Sans"/>
          <w:color w:val="262222"/>
          <w:kern w:val="0"/>
          <w14:ligatures w14:val="none"/>
        </w:rPr>
        <w:t xml:space="preserve">States cannot increase existing provider tax rates or introduce new ones to qualify for federal matching funds. </w:t>
      </w:r>
      <w:r w:rsidRPr="007E17EC">
        <w:rPr>
          <w:rFonts w:eastAsia="Times New Roman" w:cs="Open Sans"/>
          <w:b/>
          <w:bCs/>
          <w:color w:val="262222"/>
          <w:kern w:val="0"/>
          <w14:ligatures w14:val="none"/>
        </w:rPr>
        <w:t>FY2027</w:t>
      </w:r>
      <w:r>
        <w:rPr>
          <w:rFonts w:eastAsia="Times New Roman" w:cs="Open Sans"/>
          <w:color w:val="262222"/>
          <w:kern w:val="0"/>
          <w14:ligatures w14:val="none"/>
        </w:rPr>
        <w:t xml:space="preserve">. </w:t>
      </w:r>
    </w:p>
    <w:p w14:paraId="50E4AF27" w14:textId="6AE89C6D" w:rsidR="00D740F3" w:rsidRDefault="00A666BB" w:rsidP="00940811">
      <w:pPr>
        <w:shd w:val="clear" w:color="auto" w:fill="FFFFFF"/>
        <w:spacing w:beforeAutospacing="1" w:after="0" w:afterAutospacing="1" w:line="240" w:lineRule="auto"/>
        <w:ind w:left="360"/>
        <w:textAlignment w:val="baseline"/>
        <w:rPr>
          <w:rFonts w:eastAsia="Times New Roman" w:cs="Open Sans"/>
          <w:color w:val="262222"/>
          <w:kern w:val="0"/>
          <w14:ligatures w14:val="none"/>
        </w:rPr>
      </w:pPr>
      <w:r w:rsidRPr="00A666BB">
        <w:rPr>
          <w:rFonts w:eastAsia="Times New Roman" w:cs="Open Sans"/>
          <w:b/>
          <w:bCs/>
          <w:color w:val="262222"/>
          <w:kern w:val="0"/>
          <w14:ligatures w14:val="none"/>
        </w:rPr>
        <w:t>Long-Term Care Coverage:</w:t>
      </w:r>
      <w:r>
        <w:rPr>
          <w:rFonts w:eastAsia="Times New Roman" w:cs="Open Sans"/>
          <w:color w:val="262222"/>
          <w:kern w:val="0"/>
          <w14:ligatures w14:val="none"/>
        </w:rPr>
        <w:t xml:space="preserve"> </w:t>
      </w:r>
      <w:r w:rsidR="00086774" w:rsidRPr="00086774">
        <w:rPr>
          <w:rFonts w:eastAsia="Times New Roman" w:cs="Open Sans"/>
          <w:color w:val="262222"/>
          <w:kern w:val="0"/>
          <w14:ligatures w14:val="none"/>
        </w:rPr>
        <w:t xml:space="preserve">Revising home equity limit for determining eligibility for long-term care services under the Medicaid program Limits the amount states can set for home equity when determining eligibility for long-term care. Also eliminates the yearly inflation increase. Effective </w:t>
      </w:r>
      <w:r w:rsidR="00086774" w:rsidRPr="004874D1">
        <w:rPr>
          <w:rFonts w:eastAsia="Times New Roman" w:cs="Open Sans"/>
          <w:b/>
          <w:bCs/>
          <w:color w:val="262222"/>
          <w:kern w:val="0"/>
          <w14:ligatures w14:val="none"/>
        </w:rPr>
        <w:t>January 1, 2028</w:t>
      </w:r>
      <w:r w:rsidR="00086774" w:rsidRPr="00086774">
        <w:rPr>
          <w:rFonts w:eastAsia="Times New Roman" w:cs="Open Sans"/>
          <w:color w:val="262222"/>
          <w:kern w:val="0"/>
          <w14:ligatures w14:val="none"/>
        </w:rPr>
        <w:t>.</w:t>
      </w:r>
    </w:p>
    <w:p w14:paraId="42156DEB" w14:textId="426B0741" w:rsidR="001C0AC4" w:rsidRDefault="001C0AC4" w:rsidP="001C0AC4">
      <w:pPr>
        <w:shd w:val="clear" w:color="auto" w:fill="FFFFFF"/>
        <w:spacing w:beforeAutospacing="1" w:after="0" w:afterAutospacing="1" w:line="240" w:lineRule="auto"/>
        <w:ind w:left="360"/>
        <w:textAlignment w:val="baseline"/>
        <w:rPr>
          <w:rFonts w:eastAsia="Times New Roman" w:cs="Open Sans"/>
          <w:b/>
          <w:bCs/>
          <w:color w:val="262222"/>
          <w:kern w:val="0"/>
          <w14:ligatures w14:val="none"/>
        </w:rPr>
      </w:pPr>
      <w:r w:rsidRPr="00A666BB">
        <w:rPr>
          <w:rFonts w:eastAsia="Times New Roman" w:cs="Open Sans"/>
          <w:b/>
          <w:bCs/>
          <w:color w:val="262222"/>
          <w:kern w:val="0"/>
          <w14:ligatures w14:val="none"/>
        </w:rPr>
        <w:t>State Directed Payments:</w:t>
      </w:r>
      <w:r>
        <w:rPr>
          <w:rFonts w:eastAsia="Times New Roman" w:cs="Open Sans"/>
          <w:color w:val="262222"/>
          <w:kern w:val="0"/>
          <w14:ligatures w14:val="none"/>
        </w:rPr>
        <w:t xml:space="preserve"> </w:t>
      </w:r>
      <w:r w:rsidRPr="005A7AC1">
        <w:rPr>
          <w:rFonts w:eastAsia="Times New Roman" w:cs="Open Sans"/>
          <w:color w:val="262222"/>
          <w:kern w:val="0"/>
          <w14:ligatures w14:val="none"/>
        </w:rPr>
        <w:t xml:space="preserve">The Senate measure would </w:t>
      </w:r>
      <w:r>
        <w:rPr>
          <w:rFonts w:eastAsia="Times New Roman" w:cs="Open Sans"/>
          <w:color w:val="262222"/>
          <w:kern w:val="0"/>
          <w14:ligatures w14:val="none"/>
        </w:rPr>
        <w:t xml:space="preserve">gradually decrease </w:t>
      </w:r>
      <w:r w:rsidRPr="005A7AC1">
        <w:rPr>
          <w:rFonts w:eastAsia="Times New Roman" w:cs="Open Sans"/>
          <w:color w:val="262222"/>
          <w:kern w:val="0"/>
          <w14:ligatures w14:val="none"/>
        </w:rPr>
        <w:t xml:space="preserve">the federal matching rate for SDPs from the average commercial rate until the rate is 10% above the Medicare rate. </w:t>
      </w:r>
      <w:r>
        <w:rPr>
          <w:rFonts w:eastAsia="Times New Roman" w:cs="Open Sans"/>
          <w:b/>
          <w:bCs/>
          <w:color w:val="262222"/>
          <w:kern w:val="0"/>
          <w14:ligatures w14:val="none"/>
        </w:rPr>
        <w:t>FY2028-FY2031.</w:t>
      </w:r>
    </w:p>
    <w:p w14:paraId="51F83F2B" w14:textId="4990A372" w:rsidR="00FA3DBC" w:rsidRDefault="00A666BB" w:rsidP="000B694B">
      <w:pPr>
        <w:shd w:val="clear" w:color="auto" w:fill="FFFFFF"/>
        <w:spacing w:beforeAutospacing="1" w:after="0" w:afterAutospacing="1" w:line="240" w:lineRule="auto"/>
        <w:ind w:left="360"/>
        <w:textAlignment w:val="baseline"/>
      </w:pPr>
      <w:r w:rsidRPr="00A666BB">
        <w:rPr>
          <w:b/>
          <w:bCs/>
        </w:rPr>
        <w:t xml:space="preserve">Improper Payments: </w:t>
      </w:r>
      <w:r>
        <w:t xml:space="preserve">Reduces federal payments to states with improper payments including payments to ineligible people, overpayments and payments made when there was insufficient information to confirm eligibility. </w:t>
      </w:r>
      <w:r w:rsidRPr="00625383">
        <w:rPr>
          <w:b/>
          <w:bCs/>
        </w:rPr>
        <w:t xml:space="preserve">Effective </w:t>
      </w:r>
      <w:r w:rsidR="00625383" w:rsidRPr="00625383">
        <w:rPr>
          <w:b/>
          <w:bCs/>
        </w:rPr>
        <w:t>FY 2030</w:t>
      </w:r>
      <w:r w:rsidR="00625383">
        <w:t xml:space="preserve">. </w:t>
      </w:r>
    </w:p>
    <w:p w14:paraId="5B89847C" w14:textId="77777777" w:rsidR="00295B93" w:rsidRPr="000B694B" w:rsidRDefault="00295B93" w:rsidP="006A6407">
      <w:pPr>
        <w:shd w:val="clear" w:color="auto" w:fill="FFFFFF"/>
        <w:spacing w:beforeAutospacing="1" w:after="0" w:afterAutospacing="1" w:line="240" w:lineRule="auto"/>
        <w:textAlignment w:val="baseline"/>
      </w:pPr>
    </w:p>
    <w:p w14:paraId="457FAEF7" w14:textId="14773F66" w:rsidR="004874D1" w:rsidRPr="004874D1" w:rsidRDefault="004874D1" w:rsidP="004874D1">
      <w:pPr>
        <w:shd w:val="clear" w:color="auto" w:fill="FFFFFF"/>
        <w:spacing w:beforeAutospacing="1" w:after="0" w:afterAutospacing="1" w:line="240" w:lineRule="auto"/>
        <w:textAlignment w:val="baseline"/>
        <w:rPr>
          <w:b/>
          <w:bCs/>
          <w:u w:val="single"/>
        </w:rPr>
      </w:pPr>
      <w:r w:rsidRPr="004874D1">
        <w:rPr>
          <w:b/>
          <w:bCs/>
          <w:u w:val="single"/>
        </w:rPr>
        <w:t xml:space="preserve">SNAP </w:t>
      </w:r>
    </w:p>
    <w:p w14:paraId="374A5C6A" w14:textId="13179FFF" w:rsidR="004874D1" w:rsidRPr="0081783A" w:rsidRDefault="006C31E1" w:rsidP="0081783A">
      <w:pPr>
        <w:shd w:val="clear" w:color="auto" w:fill="FFFFFF"/>
        <w:spacing w:beforeAutospacing="1" w:after="0" w:afterAutospacing="1" w:line="240" w:lineRule="auto"/>
        <w:textAlignment w:val="baseline"/>
      </w:pPr>
      <w:r w:rsidRPr="006C31E1">
        <w:t xml:space="preserve">Requiring states to pay a portion of SNAP benefits for the first time in program history, up to 15%, based on their payment error rates, beginning in </w:t>
      </w:r>
      <w:r w:rsidR="009E50EB">
        <w:rPr>
          <w:b/>
          <w:bCs/>
        </w:rPr>
        <w:t>FY</w:t>
      </w:r>
      <w:r w:rsidRPr="00673BB7">
        <w:rPr>
          <w:b/>
          <w:bCs/>
        </w:rPr>
        <w:t>202</w:t>
      </w:r>
      <w:r w:rsidR="00050E5E">
        <w:rPr>
          <w:b/>
          <w:bCs/>
        </w:rPr>
        <w:t>8</w:t>
      </w:r>
      <w:r w:rsidRPr="006C31E1">
        <w:t>.</w:t>
      </w:r>
      <w:r w:rsidR="00940811">
        <w:t xml:space="preserve"> </w:t>
      </w:r>
      <w:r w:rsidRPr="00902D7E">
        <w:rPr>
          <w:b/>
          <w:bCs/>
        </w:rPr>
        <w:t xml:space="preserve">Note: </w:t>
      </w:r>
      <w:r w:rsidR="00902D7E" w:rsidRPr="00902D7E">
        <w:rPr>
          <w:b/>
          <w:bCs/>
        </w:rPr>
        <w:t>For states with 10%</w:t>
      </w:r>
      <w:r w:rsidR="00940811">
        <w:rPr>
          <w:b/>
          <w:bCs/>
        </w:rPr>
        <w:t xml:space="preserve"> or higher</w:t>
      </w:r>
      <w:r w:rsidR="00902D7E" w:rsidRPr="00902D7E">
        <w:rPr>
          <w:b/>
          <w:bCs/>
        </w:rPr>
        <w:t xml:space="preserve"> error rates, implementation for payments will be delayed by 2 years. </w:t>
      </w:r>
    </w:p>
    <w:p w14:paraId="6079FD9F" w14:textId="14BC74FC" w:rsidR="00B426DE" w:rsidRDefault="00A23F5A" w:rsidP="00A23F5A">
      <w:pPr>
        <w:shd w:val="clear" w:color="auto" w:fill="FFFFFF"/>
        <w:spacing w:beforeAutospacing="1" w:after="0" w:afterAutospacing="1" w:line="240" w:lineRule="auto"/>
        <w:textAlignment w:val="baseline"/>
        <w:rPr>
          <w:rFonts w:cs="Open Sans"/>
          <w:color w:val="262222"/>
          <w:shd w:val="clear" w:color="auto" w:fill="FFFFFF"/>
        </w:rPr>
      </w:pPr>
      <w:r>
        <w:rPr>
          <w:b/>
          <w:bCs/>
        </w:rPr>
        <w:lastRenderedPageBreak/>
        <w:t>Administrative Cost Share</w:t>
      </w:r>
      <w:r w:rsidR="00B52EBD">
        <w:rPr>
          <w:b/>
          <w:bCs/>
        </w:rPr>
        <w:t>:</w:t>
      </w:r>
      <w:r>
        <w:rPr>
          <w:b/>
          <w:bCs/>
        </w:rPr>
        <w:t xml:space="preserve"> </w:t>
      </w:r>
      <w:r w:rsidR="00FE085D">
        <w:rPr>
          <w:rFonts w:cs="Open Sans"/>
          <w:color w:val="262222"/>
          <w:shd w:val="clear" w:color="auto" w:fill="FFFFFF"/>
        </w:rPr>
        <w:t xml:space="preserve">State administrative cost share of 75% will be </w:t>
      </w:r>
      <w:r w:rsidR="00B426DE" w:rsidRPr="004874D1">
        <w:rPr>
          <w:rFonts w:cs="Open Sans"/>
          <w:b/>
          <w:bCs/>
          <w:color w:val="262222"/>
          <w:shd w:val="clear" w:color="auto" w:fill="FFFFFF"/>
        </w:rPr>
        <w:t>Effective FY 2027</w:t>
      </w:r>
      <w:r w:rsidR="00B426DE" w:rsidRPr="00916DED">
        <w:rPr>
          <w:rFonts w:cs="Open Sans"/>
          <w:i/>
          <w:iCs/>
          <w:color w:val="262222"/>
          <w:bdr w:val="none" w:sz="0" w:space="0" w:color="auto" w:frame="1"/>
          <w:shd w:val="clear" w:color="auto" w:fill="FFFFFF"/>
        </w:rPr>
        <w:t>.</w:t>
      </w:r>
      <w:r w:rsidR="00B426DE" w:rsidRPr="00916DED">
        <w:rPr>
          <w:rFonts w:cs="Open Sans"/>
          <w:color w:val="262222"/>
          <w:shd w:val="clear" w:color="auto" w:fill="FFFFFF"/>
        </w:rPr>
        <w:t> </w:t>
      </w:r>
    </w:p>
    <w:p w14:paraId="1CC4FF22" w14:textId="0DD67A3B" w:rsidR="00B52EBD" w:rsidRPr="009F2ADF" w:rsidRDefault="00B52EBD" w:rsidP="00A23F5A">
      <w:pPr>
        <w:shd w:val="clear" w:color="auto" w:fill="FFFFFF"/>
        <w:spacing w:beforeAutospacing="1" w:after="0" w:afterAutospacing="1" w:line="240" w:lineRule="auto"/>
        <w:textAlignment w:val="baseline"/>
        <w:rPr>
          <w:rFonts w:cs="Open Sans"/>
          <w:color w:val="262222"/>
          <w:shd w:val="clear" w:color="auto" w:fill="FFFFFF"/>
        </w:rPr>
      </w:pPr>
      <w:r w:rsidRPr="00B52EBD">
        <w:rPr>
          <w:rFonts w:cs="Open Sans"/>
          <w:b/>
          <w:bCs/>
          <w:color w:val="262222"/>
          <w:shd w:val="clear" w:color="auto" w:fill="FFFFFF"/>
        </w:rPr>
        <w:t>Work Requirements</w:t>
      </w:r>
      <w:r>
        <w:rPr>
          <w:rFonts w:cs="Open Sans"/>
          <w:color w:val="262222"/>
          <w:shd w:val="clear" w:color="auto" w:fill="FFFFFF"/>
        </w:rPr>
        <w:t xml:space="preserve">: </w:t>
      </w:r>
      <w:r w:rsidRPr="00B52EBD">
        <w:rPr>
          <w:rFonts w:cs="Open Sans"/>
          <w:color w:val="262222"/>
          <w:shd w:val="clear" w:color="auto" w:fill="FFFFFF"/>
        </w:rPr>
        <w:t xml:space="preserve">Expands work requirements by increasing the age from 54 to age 64 </w:t>
      </w:r>
      <w:r w:rsidR="00B57986" w:rsidRPr="00B52EBD">
        <w:rPr>
          <w:rFonts w:cs="Open Sans"/>
          <w:color w:val="262222"/>
          <w:shd w:val="clear" w:color="auto" w:fill="FFFFFF"/>
        </w:rPr>
        <w:t>and</w:t>
      </w:r>
      <w:r w:rsidRPr="00B52EBD">
        <w:rPr>
          <w:rFonts w:cs="Open Sans"/>
          <w:color w:val="262222"/>
          <w:shd w:val="clear" w:color="auto" w:fill="FFFFFF"/>
        </w:rPr>
        <w:t xml:space="preserve"> includes adults with dependent children ages 14 and older.</w:t>
      </w:r>
      <w:r w:rsidR="009F2ADF" w:rsidRPr="009F2ADF">
        <w:rPr>
          <w:rFonts w:cs="Open Sans"/>
          <w:b/>
          <w:bCs/>
          <w:color w:val="262222"/>
          <w:shd w:val="clear" w:color="auto" w:fill="FFFFFF"/>
        </w:rPr>
        <w:t xml:space="preserve"> Note: Unclear when the new requirement will go into effect. </w:t>
      </w:r>
    </w:p>
    <w:p w14:paraId="05F7D7E2" w14:textId="736DD4BB" w:rsidR="00C97A17" w:rsidRPr="001D13C8" w:rsidRDefault="00C97A17" w:rsidP="00A23F5A">
      <w:pPr>
        <w:shd w:val="clear" w:color="auto" w:fill="FFFFFF"/>
        <w:spacing w:beforeAutospacing="1" w:after="0" w:afterAutospacing="1" w:line="240" w:lineRule="auto"/>
        <w:textAlignment w:val="baseline"/>
        <w:rPr>
          <w:rFonts w:cs="Open Sans"/>
          <w:b/>
          <w:bCs/>
          <w:color w:val="262222"/>
          <w:shd w:val="clear" w:color="auto" w:fill="FFFFFF"/>
        </w:rPr>
      </w:pPr>
      <w:r w:rsidRPr="00C97A17">
        <w:rPr>
          <w:rFonts w:cs="Open Sans"/>
          <w:b/>
          <w:bCs/>
          <w:color w:val="262222"/>
          <w:shd w:val="clear" w:color="auto" w:fill="FFFFFF"/>
        </w:rPr>
        <w:t>Work Requirements</w:t>
      </w:r>
      <w:r>
        <w:rPr>
          <w:rFonts w:cs="Open Sans"/>
          <w:color w:val="262222"/>
          <w:shd w:val="clear" w:color="auto" w:fill="FFFFFF"/>
        </w:rPr>
        <w:t xml:space="preserve">: </w:t>
      </w:r>
      <w:r w:rsidRPr="00C97A17">
        <w:rPr>
          <w:rFonts w:cs="Open Sans"/>
          <w:color w:val="262222"/>
          <w:shd w:val="clear" w:color="auto" w:fill="FFFFFF"/>
        </w:rPr>
        <w:t>Prior exemptions eliminated for veterans, homeless individuals and youth transitioning out of foster care</w:t>
      </w:r>
      <w:r w:rsidR="00446284">
        <w:rPr>
          <w:rFonts w:cs="Open Sans"/>
          <w:color w:val="262222"/>
          <w:shd w:val="clear" w:color="auto" w:fill="FFFFFF"/>
        </w:rPr>
        <w:t xml:space="preserve">. </w:t>
      </w:r>
      <w:r w:rsidR="009F2ADF" w:rsidRPr="009F2ADF">
        <w:rPr>
          <w:rFonts w:cs="Open Sans"/>
          <w:b/>
          <w:bCs/>
          <w:color w:val="262222"/>
          <w:shd w:val="clear" w:color="auto" w:fill="FFFFFF"/>
        </w:rPr>
        <w:t xml:space="preserve">Note: Unclear when the new requirement will go into effect. </w:t>
      </w:r>
    </w:p>
    <w:p w14:paraId="67A4C1A0" w14:textId="77777777" w:rsidR="009F2ADF" w:rsidRPr="009F2ADF" w:rsidRDefault="00446284" w:rsidP="009F2ADF">
      <w:pPr>
        <w:shd w:val="clear" w:color="auto" w:fill="FFFFFF"/>
        <w:spacing w:beforeAutospacing="1" w:after="0" w:afterAutospacing="1" w:line="240" w:lineRule="auto"/>
        <w:textAlignment w:val="baseline"/>
        <w:rPr>
          <w:rFonts w:cs="Open Sans"/>
          <w:b/>
          <w:bCs/>
          <w:color w:val="262222"/>
          <w:shd w:val="clear" w:color="auto" w:fill="FFFFFF"/>
        </w:rPr>
      </w:pPr>
      <w:r w:rsidRPr="00446284">
        <w:rPr>
          <w:rFonts w:cs="Open Sans"/>
          <w:b/>
          <w:bCs/>
          <w:color w:val="262222"/>
          <w:shd w:val="clear" w:color="auto" w:fill="FFFFFF"/>
        </w:rPr>
        <w:t>Work Requirements</w:t>
      </w:r>
      <w:r>
        <w:rPr>
          <w:rFonts w:cs="Open Sans"/>
          <w:color w:val="262222"/>
          <w:shd w:val="clear" w:color="auto" w:fill="FFFFFF"/>
        </w:rPr>
        <w:t xml:space="preserve">: </w:t>
      </w:r>
      <w:r w:rsidRPr="00446284">
        <w:rPr>
          <w:rFonts w:cs="Open Sans"/>
          <w:color w:val="262222"/>
          <w:shd w:val="clear" w:color="auto" w:fill="FFFFFF"/>
        </w:rPr>
        <w:t>Limits waivers of the work requirements to areas where the unemployment rate is 10% or higher</w:t>
      </w:r>
      <w:r>
        <w:rPr>
          <w:rFonts w:cs="Open Sans"/>
          <w:color w:val="262222"/>
          <w:shd w:val="clear" w:color="auto" w:fill="FFFFFF"/>
        </w:rPr>
        <w:t xml:space="preserve">. </w:t>
      </w:r>
      <w:r w:rsidR="009F2ADF" w:rsidRPr="009F2ADF">
        <w:rPr>
          <w:rFonts w:cs="Open Sans"/>
          <w:b/>
          <w:bCs/>
          <w:color w:val="262222"/>
          <w:shd w:val="clear" w:color="auto" w:fill="FFFFFF"/>
        </w:rPr>
        <w:t xml:space="preserve">Note: Unclear when the new requirement will go into effect. </w:t>
      </w:r>
    </w:p>
    <w:p w14:paraId="1A7BA5F2" w14:textId="36A4FB28" w:rsidR="00446284" w:rsidRDefault="00446284" w:rsidP="00A23F5A">
      <w:pPr>
        <w:shd w:val="clear" w:color="auto" w:fill="FFFFFF"/>
        <w:spacing w:beforeAutospacing="1" w:after="0" w:afterAutospacing="1" w:line="240" w:lineRule="auto"/>
        <w:textAlignment w:val="baseline"/>
        <w:rPr>
          <w:rFonts w:cs="Open Sans"/>
          <w:color w:val="262222"/>
          <w:shd w:val="clear" w:color="auto" w:fill="FFFFFF"/>
        </w:rPr>
      </w:pPr>
    </w:p>
    <w:p w14:paraId="103767B1" w14:textId="77777777" w:rsidR="000B694B" w:rsidRDefault="000B694B" w:rsidP="00A23F5A">
      <w:pPr>
        <w:shd w:val="clear" w:color="auto" w:fill="FFFFFF"/>
        <w:spacing w:beforeAutospacing="1" w:after="0" w:afterAutospacing="1" w:line="240" w:lineRule="auto"/>
        <w:textAlignment w:val="baseline"/>
        <w:rPr>
          <w:rFonts w:cs="Open Sans"/>
          <w:color w:val="262222"/>
          <w:shd w:val="clear" w:color="auto" w:fill="FFFFFF"/>
        </w:rPr>
      </w:pPr>
    </w:p>
    <w:p w14:paraId="77A30B00" w14:textId="77777777" w:rsidR="00902D7E" w:rsidRPr="00902D7E" w:rsidRDefault="00902D7E" w:rsidP="00902D7E">
      <w:pPr>
        <w:shd w:val="clear" w:color="auto" w:fill="FFFFFF"/>
        <w:spacing w:beforeAutospacing="1" w:after="0" w:afterAutospacing="1" w:line="240" w:lineRule="auto"/>
        <w:textAlignment w:val="baseline"/>
        <w:rPr>
          <w:b/>
          <w:bCs/>
        </w:rPr>
      </w:pPr>
    </w:p>
    <w:p w14:paraId="27F9F79E" w14:textId="77777777" w:rsidR="00D2611A" w:rsidRDefault="00D2611A"/>
    <w:sectPr w:rsidR="00D2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FD4"/>
    <w:multiLevelType w:val="hybridMultilevel"/>
    <w:tmpl w:val="46E63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8F0F24"/>
    <w:multiLevelType w:val="multilevel"/>
    <w:tmpl w:val="252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779950">
    <w:abstractNumId w:val="1"/>
  </w:num>
  <w:num w:numId="2" w16cid:durableId="26222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1A"/>
    <w:rsid w:val="000222A3"/>
    <w:rsid w:val="000357CD"/>
    <w:rsid w:val="000468C9"/>
    <w:rsid w:val="00050E5E"/>
    <w:rsid w:val="00061A12"/>
    <w:rsid w:val="0008134C"/>
    <w:rsid w:val="00086774"/>
    <w:rsid w:val="000B694B"/>
    <w:rsid w:val="000F6E0D"/>
    <w:rsid w:val="001142BF"/>
    <w:rsid w:val="0011590A"/>
    <w:rsid w:val="0012675C"/>
    <w:rsid w:val="00170329"/>
    <w:rsid w:val="00192104"/>
    <w:rsid w:val="001B0C8C"/>
    <w:rsid w:val="001B2253"/>
    <w:rsid w:val="001C0AC4"/>
    <w:rsid w:val="001D13C8"/>
    <w:rsid w:val="001D317C"/>
    <w:rsid w:val="00201915"/>
    <w:rsid w:val="00203D13"/>
    <w:rsid w:val="00210DEC"/>
    <w:rsid w:val="00213BA5"/>
    <w:rsid w:val="002152E3"/>
    <w:rsid w:val="0022673F"/>
    <w:rsid w:val="00251FB3"/>
    <w:rsid w:val="00271832"/>
    <w:rsid w:val="00295B93"/>
    <w:rsid w:val="002A0F28"/>
    <w:rsid w:val="002C6C8B"/>
    <w:rsid w:val="002D15B8"/>
    <w:rsid w:val="002E3883"/>
    <w:rsid w:val="002E4536"/>
    <w:rsid w:val="00302637"/>
    <w:rsid w:val="003269C8"/>
    <w:rsid w:val="00331B59"/>
    <w:rsid w:val="00392A55"/>
    <w:rsid w:val="003B628A"/>
    <w:rsid w:val="003F7E1D"/>
    <w:rsid w:val="0041434D"/>
    <w:rsid w:val="00416A1C"/>
    <w:rsid w:val="00446284"/>
    <w:rsid w:val="004874D1"/>
    <w:rsid w:val="004B6EA8"/>
    <w:rsid w:val="004D0174"/>
    <w:rsid w:val="00506E86"/>
    <w:rsid w:val="00516110"/>
    <w:rsid w:val="00532214"/>
    <w:rsid w:val="00550A09"/>
    <w:rsid w:val="00551AF4"/>
    <w:rsid w:val="00567642"/>
    <w:rsid w:val="0058472B"/>
    <w:rsid w:val="0058484E"/>
    <w:rsid w:val="005A7AC1"/>
    <w:rsid w:val="006225B4"/>
    <w:rsid w:val="00625383"/>
    <w:rsid w:val="00651A26"/>
    <w:rsid w:val="00673BB7"/>
    <w:rsid w:val="006A6407"/>
    <w:rsid w:val="006B0089"/>
    <w:rsid w:val="006C31E1"/>
    <w:rsid w:val="006E0500"/>
    <w:rsid w:val="006E4414"/>
    <w:rsid w:val="00724EAF"/>
    <w:rsid w:val="00795D7C"/>
    <w:rsid w:val="007E17EC"/>
    <w:rsid w:val="0081783A"/>
    <w:rsid w:val="0082319B"/>
    <w:rsid w:val="00824B56"/>
    <w:rsid w:val="0084672E"/>
    <w:rsid w:val="00867D35"/>
    <w:rsid w:val="0088513A"/>
    <w:rsid w:val="008B31F2"/>
    <w:rsid w:val="008C0470"/>
    <w:rsid w:val="008F70D8"/>
    <w:rsid w:val="00900C10"/>
    <w:rsid w:val="00902D7E"/>
    <w:rsid w:val="0090674C"/>
    <w:rsid w:val="00916DED"/>
    <w:rsid w:val="00933E18"/>
    <w:rsid w:val="00940811"/>
    <w:rsid w:val="00994AA4"/>
    <w:rsid w:val="009A69F9"/>
    <w:rsid w:val="009D14E9"/>
    <w:rsid w:val="009E50EB"/>
    <w:rsid w:val="009F2ADF"/>
    <w:rsid w:val="00A23F5A"/>
    <w:rsid w:val="00A666BB"/>
    <w:rsid w:val="00AA0502"/>
    <w:rsid w:val="00AA3FEA"/>
    <w:rsid w:val="00AC4814"/>
    <w:rsid w:val="00B2431A"/>
    <w:rsid w:val="00B41F89"/>
    <w:rsid w:val="00B4239A"/>
    <w:rsid w:val="00B426DE"/>
    <w:rsid w:val="00B52EBD"/>
    <w:rsid w:val="00B57986"/>
    <w:rsid w:val="00B6547C"/>
    <w:rsid w:val="00BE3F36"/>
    <w:rsid w:val="00BF54E1"/>
    <w:rsid w:val="00C15D16"/>
    <w:rsid w:val="00C30982"/>
    <w:rsid w:val="00C65F15"/>
    <w:rsid w:val="00C82821"/>
    <w:rsid w:val="00C97A17"/>
    <w:rsid w:val="00CA0374"/>
    <w:rsid w:val="00CC4CF8"/>
    <w:rsid w:val="00CD33F1"/>
    <w:rsid w:val="00D06473"/>
    <w:rsid w:val="00D2611A"/>
    <w:rsid w:val="00D31138"/>
    <w:rsid w:val="00D708D1"/>
    <w:rsid w:val="00D740F3"/>
    <w:rsid w:val="00D87A1C"/>
    <w:rsid w:val="00DB3177"/>
    <w:rsid w:val="00DB5055"/>
    <w:rsid w:val="00DD50F6"/>
    <w:rsid w:val="00E02EBD"/>
    <w:rsid w:val="00E8012C"/>
    <w:rsid w:val="00EF438D"/>
    <w:rsid w:val="00EF4ECC"/>
    <w:rsid w:val="00F0070C"/>
    <w:rsid w:val="00F03519"/>
    <w:rsid w:val="00F33A37"/>
    <w:rsid w:val="00F44F76"/>
    <w:rsid w:val="00F6004F"/>
    <w:rsid w:val="00F675C2"/>
    <w:rsid w:val="00FA3DBC"/>
    <w:rsid w:val="00FB190E"/>
    <w:rsid w:val="00FE085D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931C"/>
  <w15:chartTrackingRefBased/>
  <w15:docId w15:val="{3D4621D3-BFBA-4DAC-8203-F69EB76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1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78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8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3D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E4CB6CF1AA41BFA971773B3E1EF7" ma:contentTypeVersion="12" ma:contentTypeDescription="Create a new document." ma:contentTypeScope="" ma:versionID="5f90d8290e487144f3dc5dc0ead877d0">
  <xsd:schema xmlns:xsd="http://www.w3.org/2001/XMLSchema" xmlns:xs="http://www.w3.org/2001/XMLSchema" xmlns:p="http://schemas.microsoft.com/office/2006/metadata/properties" xmlns:ns2="f988fd0a-e2c6-42ba-9066-d61b32111ae9" xmlns:ns3="f7eaab33-fc12-41de-92d8-27a871a00bf9" targetNamespace="http://schemas.microsoft.com/office/2006/metadata/properties" ma:root="true" ma:fieldsID="9daaf0757b8d5ac43bd7be56b89b5166" ns2:_="" ns3:_="">
    <xsd:import namespace="f988fd0a-e2c6-42ba-9066-d61b32111ae9"/>
    <xsd:import namespace="f7eaab33-fc12-41de-92d8-27a871a00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8fd0a-e2c6-42ba-9066-d61b32111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7ff2e6-9723-4e4e-9c82-815a9c12c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aab33-fc12-41de-92d8-27a871a00b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423cf8-d10f-4ba7-8087-a305711bd4a7}" ma:internalName="TaxCatchAll" ma:showField="CatchAllData" ma:web="f7eaab33-fc12-41de-92d8-27a871a00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88fd0a-e2c6-42ba-9066-d61b32111ae9">
      <Terms xmlns="http://schemas.microsoft.com/office/infopath/2007/PartnerControls"/>
    </lcf76f155ced4ddcb4097134ff3c332f>
    <TaxCatchAll xmlns="f7eaab33-fc12-41de-92d8-27a871a00bf9" xsi:nil="true"/>
  </documentManagement>
</p:properties>
</file>

<file path=customXml/itemProps1.xml><?xml version="1.0" encoding="utf-8"?>
<ds:datastoreItem xmlns:ds="http://schemas.openxmlformats.org/officeDocument/2006/customXml" ds:itemID="{F2DC4CBA-CF81-4611-93E0-ADEA271DD5F6}"/>
</file>

<file path=customXml/itemProps2.xml><?xml version="1.0" encoding="utf-8"?>
<ds:datastoreItem xmlns:ds="http://schemas.openxmlformats.org/officeDocument/2006/customXml" ds:itemID="{B2CBA2C0-0F47-4E4C-B4F2-E30C7713E291}"/>
</file>

<file path=customXml/itemProps3.xml><?xml version="1.0" encoding="utf-8"?>
<ds:datastoreItem xmlns:ds="http://schemas.openxmlformats.org/officeDocument/2006/customXml" ds:itemID="{BE5423E1-334B-488F-866C-ED5BF2F83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Mary-Catherine McCreary</dc:creator>
  <cp:keywords/>
  <dc:description/>
  <cp:lastModifiedBy>Mary-Catherine McCreary</cp:lastModifiedBy>
  <cp:revision>2</cp:revision>
  <cp:lastPrinted>2025-07-11T17:59:00Z</cp:lastPrinted>
  <dcterms:created xsi:type="dcterms:W3CDTF">2025-07-25T15:50:00Z</dcterms:created>
  <dcterms:modified xsi:type="dcterms:W3CDTF">2025-07-25T15:50:00Z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0x010100B34DE4CB6CF1AA41BFA971773B3E1EF7</vt:lpwstr>
  </property>
</Properties>
</file>